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7" w:rsidRPr="003C5CB1" w:rsidRDefault="007A6D77" w:rsidP="003C5CB1">
      <w:pPr>
        <w:tabs>
          <w:tab w:val="left" w:pos="2410"/>
          <w:tab w:val="left" w:pos="3119"/>
        </w:tabs>
        <w:spacing w:before="360" w:after="0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>Gulács Község Önkormányzata</w:t>
      </w:r>
    </w:p>
    <w:p w:rsidR="007A6D77" w:rsidRPr="003C5CB1" w:rsidRDefault="007A6D77" w:rsidP="003C5CB1">
      <w:pPr>
        <w:tabs>
          <w:tab w:val="left" w:pos="2410"/>
          <w:tab w:val="left" w:pos="3119"/>
        </w:tabs>
        <w:spacing w:before="360" w:after="0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>Képviselő-testületének</w:t>
      </w:r>
    </w:p>
    <w:p w:rsidR="007A6D77" w:rsidRPr="003C5CB1" w:rsidRDefault="007A6D77" w:rsidP="003C5CB1">
      <w:pPr>
        <w:spacing w:before="240" w:after="0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>3/2019. (II.18.) önkormányzati rendelete</w:t>
      </w:r>
    </w:p>
    <w:p w:rsidR="007A6D77" w:rsidRPr="003C5CB1" w:rsidRDefault="007A6D77" w:rsidP="003C5CB1">
      <w:pPr>
        <w:spacing w:after="0"/>
        <w:jc w:val="center"/>
        <w:rPr>
          <w:rFonts w:cstheme="minorHAnsi"/>
          <w:b/>
        </w:rPr>
      </w:pPr>
      <w:proofErr w:type="gramStart"/>
      <w:r w:rsidRPr="003C5CB1">
        <w:rPr>
          <w:rFonts w:cstheme="minorHAnsi"/>
          <w:b/>
        </w:rPr>
        <w:t>az</w:t>
      </w:r>
      <w:proofErr w:type="gramEnd"/>
      <w:r w:rsidRPr="003C5CB1">
        <w:rPr>
          <w:rFonts w:cstheme="minorHAnsi"/>
          <w:b/>
        </w:rPr>
        <w:t xml:space="preserve"> önkormányzat 2019. évi költségvetéséről</w:t>
      </w:r>
    </w:p>
    <w:p w:rsidR="007A6D77" w:rsidRPr="003C5CB1" w:rsidRDefault="007A6D77" w:rsidP="007A6D77">
      <w:pPr>
        <w:spacing w:after="0"/>
        <w:rPr>
          <w:rFonts w:cstheme="minorHAnsi"/>
          <w:b/>
        </w:rPr>
      </w:pPr>
    </w:p>
    <w:p w:rsidR="007A6D77" w:rsidRPr="003C5CB1" w:rsidRDefault="007A6D77" w:rsidP="007A6D77">
      <w:pPr>
        <w:spacing w:before="240"/>
        <w:jc w:val="both"/>
        <w:rPr>
          <w:rFonts w:cstheme="minorHAnsi"/>
        </w:rPr>
      </w:pPr>
      <w:r w:rsidRPr="003C5CB1">
        <w:rPr>
          <w:rFonts w:cstheme="minorHAnsi"/>
        </w:rPr>
        <w:t>Gulács Község Önkormányzat Képviselő-testülete a Magyarország helyi önkormányzatairól szóló 2011. évi CLXXXIX. törvény 143.§ (4) bekezdés b.) pontjában, valamint az államháztartásról szóló 2011. évi CXCV. törvény 23.§ (1) bekezdésében kapott felhatalmazása alapján az Alaptörvény 32</w:t>
      </w:r>
      <w:proofErr w:type="gramStart"/>
      <w:r w:rsidRPr="003C5CB1">
        <w:rPr>
          <w:rFonts w:cstheme="minorHAnsi"/>
        </w:rPr>
        <w:t>.cikk</w:t>
      </w:r>
      <w:proofErr w:type="gramEnd"/>
      <w:r w:rsidRPr="003C5CB1">
        <w:rPr>
          <w:rFonts w:cstheme="minorHAnsi"/>
        </w:rPr>
        <w:t>.(1)bekezdés a) és f)pontjaiban meghatározott feladatkörében eljárva</w:t>
      </w:r>
      <w:r w:rsidR="003C5CB1" w:rsidRPr="003C5CB1">
        <w:rPr>
          <w:rFonts w:cstheme="minorHAnsi"/>
          <w:color w:val="000000"/>
        </w:rPr>
        <w:t xml:space="preserve"> az államháztartásról szóló törvény végrehajtásáról szóló 368/2011.(XII.31.) Korm. rendelet 27.§ (1) bekezdésében biztosított véleményezési jogkörében eljáró Gulács Gondozási </w:t>
      </w:r>
      <w:proofErr w:type="gramStart"/>
      <w:r w:rsidR="003C5CB1" w:rsidRPr="003C5CB1">
        <w:rPr>
          <w:rFonts w:cstheme="minorHAnsi"/>
          <w:color w:val="000000"/>
        </w:rPr>
        <w:t>Központ  intézményvezetője</w:t>
      </w:r>
      <w:proofErr w:type="gramEnd"/>
      <w:r w:rsidRPr="003C5CB1">
        <w:rPr>
          <w:rFonts w:cstheme="minorHAnsi"/>
        </w:rPr>
        <w:t xml:space="preserve"> a 2019. évi költségvetéséről a következőket rendeli el: </w:t>
      </w:r>
    </w:p>
    <w:p w:rsidR="007A6D77" w:rsidRPr="003C5CB1" w:rsidRDefault="007A6D77" w:rsidP="007A6D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cstheme="minorHAnsi"/>
          <w:b/>
        </w:rPr>
      </w:pPr>
      <w:r w:rsidRPr="003C5CB1">
        <w:rPr>
          <w:rFonts w:cstheme="minorHAnsi"/>
          <w:b/>
        </w:rPr>
        <w:t>A rendelet hatálya</w:t>
      </w:r>
    </w:p>
    <w:p w:rsidR="007A6D77" w:rsidRPr="003C5CB1" w:rsidRDefault="007A6D77" w:rsidP="007A6D77">
      <w:pPr>
        <w:spacing w:before="240" w:after="240"/>
        <w:ind w:left="720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>1.§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 xml:space="preserve">A rendelet hatálya Gulács Község </w:t>
      </w:r>
      <w:proofErr w:type="gramStart"/>
      <w:r w:rsidRPr="003C5CB1">
        <w:rPr>
          <w:rFonts w:cstheme="minorHAnsi"/>
        </w:rPr>
        <w:t>Önkormányzat  Képviselő-testületre</w:t>
      </w:r>
      <w:proofErr w:type="gramEnd"/>
      <w:r w:rsidRPr="003C5CB1">
        <w:rPr>
          <w:rFonts w:cstheme="minorHAnsi"/>
        </w:rPr>
        <w:t>, annak bizottságaira, és az önkormányzat irányítása alá tartozó költségvetési szerv</w:t>
      </w:r>
      <w:r w:rsidR="003C5CB1">
        <w:rPr>
          <w:rFonts w:cstheme="minorHAnsi"/>
        </w:rPr>
        <w:t>re</w:t>
      </w:r>
      <w:r w:rsidRPr="003C5CB1">
        <w:rPr>
          <w:rFonts w:cstheme="minorHAnsi"/>
        </w:rPr>
        <w:t xml:space="preserve"> (intézményre) terjed ki.</w:t>
      </w:r>
    </w:p>
    <w:p w:rsidR="007A6D77" w:rsidRPr="003C5CB1" w:rsidRDefault="007A6D77" w:rsidP="007A6D77">
      <w:pPr>
        <w:spacing w:before="120"/>
        <w:ind w:left="426" w:hanging="426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>2. Az önkormányzat költségvetési intézményei</w:t>
      </w:r>
    </w:p>
    <w:p w:rsidR="007A6D77" w:rsidRPr="003C5CB1" w:rsidRDefault="007A6D77" w:rsidP="007A6D77">
      <w:pPr>
        <w:spacing w:before="120"/>
        <w:ind w:left="426" w:hanging="426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 xml:space="preserve">2.§ </w:t>
      </w:r>
    </w:p>
    <w:p w:rsidR="007A6D77" w:rsidRPr="003C5CB1" w:rsidRDefault="007A6D77" w:rsidP="007A6D77">
      <w:pPr>
        <w:spacing w:before="120"/>
        <w:ind w:left="426" w:hanging="426"/>
        <w:rPr>
          <w:rFonts w:cstheme="minorHAnsi"/>
        </w:rPr>
      </w:pPr>
      <w:r w:rsidRPr="003C5CB1">
        <w:rPr>
          <w:rFonts w:cstheme="minorHAnsi"/>
        </w:rPr>
        <w:t xml:space="preserve">(1) Önállóan működő és gazdálkodó költségvetési szerv: </w:t>
      </w:r>
    </w:p>
    <w:p w:rsidR="007A6D77" w:rsidRPr="003C5CB1" w:rsidRDefault="007A6D77" w:rsidP="007A6D77">
      <w:pPr>
        <w:spacing w:before="120"/>
        <w:ind w:left="426" w:firstLine="294"/>
        <w:rPr>
          <w:rFonts w:cstheme="minorHAnsi"/>
        </w:rPr>
      </w:pPr>
      <w:r w:rsidRPr="003C5CB1">
        <w:rPr>
          <w:rFonts w:cstheme="minorHAnsi"/>
        </w:rPr>
        <w:t>Gulács Község Önkormányzata</w:t>
      </w:r>
    </w:p>
    <w:p w:rsidR="007A6D77" w:rsidRPr="003C5CB1" w:rsidRDefault="007A6D77" w:rsidP="007A6D77">
      <w:pPr>
        <w:spacing w:before="120"/>
        <w:ind w:left="426" w:hanging="426"/>
        <w:rPr>
          <w:rFonts w:cstheme="minorHAnsi"/>
        </w:rPr>
      </w:pPr>
      <w:r w:rsidRPr="003C5CB1">
        <w:rPr>
          <w:rFonts w:cstheme="minorHAnsi"/>
        </w:rPr>
        <w:t>(2) Önáll</w:t>
      </w:r>
      <w:r w:rsidR="003C5CB1">
        <w:rPr>
          <w:rFonts w:cstheme="minorHAnsi"/>
        </w:rPr>
        <w:t>óan működő költségvetési szerve</w:t>
      </w:r>
      <w:r w:rsidRPr="003C5CB1">
        <w:rPr>
          <w:rFonts w:cstheme="minorHAnsi"/>
        </w:rPr>
        <w:t xml:space="preserve">: </w:t>
      </w:r>
    </w:p>
    <w:p w:rsidR="007A6D77" w:rsidRPr="003C5CB1" w:rsidRDefault="007A6D77" w:rsidP="007A6D77">
      <w:pPr>
        <w:spacing w:before="120"/>
        <w:ind w:left="426" w:firstLine="294"/>
        <w:rPr>
          <w:rFonts w:cstheme="minorHAnsi"/>
        </w:rPr>
      </w:pPr>
      <w:r w:rsidRPr="003C5CB1">
        <w:rPr>
          <w:rFonts w:cstheme="minorHAnsi"/>
        </w:rPr>
        <w:t xml:space="preserve"> Gulács Község Önkormányzat Gondozási Központja</w:t>
      </w:r>
    </w:p>
    <w:p w:rsidR="007A6D77" w:rsidRPr="003C5CB1" w:rsidRDefault="007A6D77" w:rsidP="007A6D77">
      <w:pPr>
        <w:spacing w:before="120"/>
        <w:ind w:left="426" w:hanging="426"/>
        <w:rPr>
          <w:rFonts w:cstheme="minorHAnsi"/>
        </w:rPr>
      </w:pPr>
    </w:p>
    <w:p w:rsidR="007A6D77" w:rsidRPr="003C5CB1" w:rsidRDefault="007A6D77" w:rsidP="00EE5B2B">
      <w:pPr>
        <w:spacing w:before="240" w:after="240"/>
        <w:ind w:left="360"/>
        <w:jc w:val="center"/>
        <w:rPr>
          <w:rFonts w:cstheme="minorHAnsi"/>
          <w:b/>
        </w:rPr>
      </w:pPr>
      <w:r w:rsidRPr="003C5CB1">
        <w:rPr>
          <w:rFonts w:cstheme="minorHAnsi"/>
          <w:b/>
        </w:rPr>
        <w:t xml:space="preserve">3.Az önkormányzat és költségvetési intézményeinek 2019. </w:t>
      </w:r>
      <w:proofErr w:type="gramStart"/>
      <w:r w:rsidRPr="003C5CB1">
        <w:rPr>
          <w:rFonts w:cstheme="minorHAnsi"/>
          <w:b/>
        </w:rPr>
        <w:t>évi  költségvetés</w:t>
      </w:r>
      <w:proofErr w:type="gramEnd"/>
      <w:r w:rsidRPr="003C5CB1">
        <w:rPr>
          <w:rFonts w:cstheme="minorHAnsi"/>
          <w:b/>
        </w:rPr>
        <w:t xml:space="preserve"> bevételei és kiadásai</w:t>
      </w:r>
    </w:p>
    <w:p w:rsidR="007A6D77" w:rsidRPr="003C5CB1" w:rsidRDefault="003C5CB1" w:rsidP="003C5CB1">
      <w:pPr>
        <w:overflowPunct w:val="0"/>
        <w:autoSpaceDE w:val="0"/>
        <w:autoSpaceDN w:val="0"/>
        <w:adjustRightInd w:val="0"/>
        <w:spacing w:before="240" w:after="240" w:line="240" w:lineRule="auto"/>
        <w:ind w:left="360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3.§</w:t>
      </w:r>
    </w:p>
    <w:p w:rsidR="007A6D77" w:rsidRDefault="007A6D77" w:rsidP="007A6D77">
      <w:pPr>
        <w:tabs>
          <w:tab w:val="left" w:pos="399"/>
        </w:tabs>
        <w:spacing w:before="120" w:after="240"/>
        <w:ind w:left="399" w:hanging="399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 xml:space="preserve">Gulács Község Önkormányzata (továbbiakban: </w:t>
      </w:r>
      <w:proofErr w:type="gramStart"/>
      <w:r w:rsidRPr="003C5CB1">
        <w:rPr>
          <w:rFonts w:cstheme="minorHAnsi"/>
        </w:rPr>
        <w:t>Önkormányzat )</w:t>
      </w:r>
      <w:proofErr w:type="gramEnd"/>
      <w:r w:rsidRPr="003C5CB1">
        <w:rPr>
          <w:rFonts w:cstheme="minorHAnsi"/>
        </w:rPr>
        <w:t xml:space="preserve"> összesített  2019. évi költségvetését:</w:t>
      </w:r>
    </w:p>
    <w:p w:rsidR="00EE5B2B" w:rsidRPr="003C5CB1" w:rsidRDefault="00EE5B2B" w:rsidP="007A6D77">
      <w:pPr>
        <w:tabs>
          <w:tab w:val="left" w:pos="399"/>
        </w:tabs>
        <w:spacing w:before="120" w:after="240"/>
        <w:ind w:left="399" w:hanging="399"/>
        <w:jc w:val="both"/>
        <w:rPr>
          <w:rFonts w:cstheme="minorHAnsi"/>
        </w:rPr>
      </w:pP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2804"/>
      </w:tblGrid>
      <w:tr w:rsidR="007A6D77" w:rsidRPr="003C5CB1" w:rsidTr="00A0607A">
        <w:tc>
          <w:tcPr>
            <w:tcW w:w="2624" w:type="dxa"/>
          </w:tcPr>
          <w:p w:rsidR="007A6D77" w:rsidRPr="003C5CB1" w:rsidRDefault="007A6D77" w:rsidP="00A0607A">
            <w:pPr>
              <w:spacing w:before="120"/>
              <w:jc w:val="right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lastRenderedPageBreak/>
              <w:t xml:space="preserve"> 292 763 847  Ft</w:t>
            </w:r>
          </w:p>
        </w:tc>
        <w:tc>
          <w:tcPr>
            <w:tcW w:w="2804" w:type="dxa"/>
          </w:tcPr>
          <w:p w:rsidR="007A6D77" w:rsidRPr="003C5CB1" w:rsidRDefault="007A6D77" w:rsidP="00A0607A">
            <w:pPr>
              <w:spacing w:before="120"/>
              <w:jc w:val="both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>Költségvetési bevétellel</w:t>
            </w:r>
          </w:p>
        </w:tc>
      </w:tr>
      <w:tr w:rsidR="007A6D77" w:rsidRPr="003C5CB1" w:rsidTr="00A0607A">
        <w:tc>
          <w:tcPr>
            <w:tcW w:w="2624" w:type="dxa"/>
            <w:tcBorders>
              <w:bottom w:val="single" w:sz="12" w:space="0" w:color="auto"/>
            </w:tcBorders>
          </w:tcPr>
          <w:p w:rsidR="007A6D77" w:rsidRPr="003C5CB1" w:rsidRDefault="007A6D77" w:rsidP="00A0607A">
            <w:pPr>
              <w:jc w:val="right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>335 925 283  Ft</w:t>
            </w:r>
          </w:p>
        </w:tc>
        <w:tc>
          <w:tcPr>
            <w:tcW w:w="2804" w:type="dxa"/>
            <w:tcBorders>
              <w:bottom w:val="single" w:sz="12" w:space="0" w:color="auto"/>
            </w:tcBorders>
          </w:tcPr>
          <w:p w:rsidR="007A6D77" w:rsidRPr="003C5CB1" w:rsidRDefault="007A6D77" w:rsidP="00A0607A">
            <w:pPr>
              <w:jc w:val="both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>Költségvetési kiadással</w:t>
            </w:r>
          </w:p>
        </w:tc>
      </w:tr>
      <w:tr w:rsidR="007A6D77" w:rsidRPr="003C5CB1" w:rsidTr="00A0607A">
        <w:tc>
          <w:tcPr>
            <w:tcW w:w="2624" w:type="dxa"/>
          </w:tcPr>
          <w:p w:rsidR="007A6D77" w:rsidRPr="003C5CB1" w:rsidRDefault="007A6D77" w:rsidP="00A0607A">
            <w:pPr>
              <w:jc w:val="right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>- 43 161 436  Ft</w:t>
            </w:r>
          </w:p>
          <w:p w:rsidR="007A6D77" w:rsidRPr="003C5CB1" w:rsidRDefault="007A6D77" w:rsidP="00A0607A">
            <w:pPr>
              <w:jc w:val="right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 xml:space="preserve">                  43 161 436 Ft</w:t>
            </w:r>
          </w:p>
          <w:p w:rsidR="007A6D77" w:rsidRPr="003C5CB1" w:rsidRDefault="007A6D77" w:rsidP="00A060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:rsidR="007A6D77" w:rsidRPr="003C5CB1" w:rsidRDefault="007A6D77" w:rsidP="00A0607A">
            <w:pPr>
              <w:jc w:val="both"/>
              <w:rPr>
                <w:rFonts w:cstheme="minorHAnsi"/>
                <w:b/>
              </w:rPr>
            </w:pPr>
            <w:r w:rsidRPr="003C5CB1">
              <w:rPr>
                <w:rFonts w:cstheme="minorHAnsi"/>
                <w:b/>
              </w:rPr>
              <w:t>Költségvetési egyenleggel</w:t>
            </w:r>
          </w:p>
          <w:p w:rsidR="007A6D77" w:rsidRPr="003C5CB1" w:rsidRDefault="007A6D77" w:rsidP="00A0607A">
            <w:pPr>
              <w:jc w:val="both"/>
              <w:rPr>
                <w:rFonts w:cstheme="minorHAnsi"/>
                <w:b/>
              </w:rPr>
            </w:pPr>
            <w:proofErr w:type="spellStart"/>
            <w:r w:rsidRPr="003C5CB1">
              <w:rPr>
                <w:rFonts w:cstheme="minorHAnsi"/>
                <w:b/>
              </w:rPr>
              <w:t>-</w:t>
            </w:r>
            <w:proofErr w:type="gramStart"/>
            <w:r w:rsidRPr="003C5CB1">
              <w:rPr>
                <w:rFonts w:cstheme="minorHAnsi"/>
                <w:b/>
              </w:rPr>
              <w:t>ebből</w:t>
            </w:r>
            <w:proofErr w:type="spellEnd"/>
            <w:r w:rsidRPr="003C5CB1">
              <w:rPr>
                <w:rFonts w:cstheme="minorHAnsi"/>
                <w:b/>
              </w:rPr>
              <w:t xml:space="preserve">  működési</w:t>
            </w:r>
            <w:proofErr w:type="gramEnd"/>
            <w:r w:rsidRPr="003C5CB1">
              <w:rPr>
                <w:rFonts w:cstheme="minorHAnsi"/>
                <w:b/>
              </w:rPr>
              <w:t xml:space="preserve"> célú külső finanszírozású </w:t>
            </w:r>
          </w:p>
        </w:tc>
      </w:tr>
    </w:tbl>
    <w:p w:rsidR="007A6D77" w:rsidRPr="003C5CB1" w:rsidRDefault="007A6D77" w:rsidP="007A6D77">
      <w:pPr>
        <w:jc w:val="both"/>
        <w:rPr>
          <w:rFonts w:cstheme="minorHAnsi"/>
        </w:rPr>
      </w:pPr>
      <w:r w:rsidRPr="003C5CB1">
        <w:rPr>
          <w:rFonts w:cstheme="minorHAnsi"/>
        </w:rPr>
        <w:t xml:space="preserve">                                                              </w:t>
      </w:r>
    </w:p>
    <w:p w:rsidR="007A6D77" w:rsidRPr="003C5CB1" w:rsidRDefault="007A6D77" w:rsidP="007A6D77">
      <w:pPr>
        <w:ind w:left="456"/>
        <w:jc w:val="both"/>
        <w:rPr>
          <w:rFonts w:cstheme="minorHAnsi"/>
        </w:rPr>
      </w:pPr>
      <w:proofErr w:type="gramStart"/>
      <w:r w:rsidRPr="003C5CB1">
        <w:rPr>
          <w:rFonts w:cstheme="minorHAnsi"/>
        </w:rPr>
        <w:t>költségvetési</w:t>
      </w:r>
      <w:proofErr w:type="gramEnd"/>
      <w:r w:rsidRPr="003C5CB1">
        <w:rPr>
          <w:rFonts w:cstheme="minorHAnsi"/>
        </w:rPr>
        <w:t xml:space="preserve"> egyenleggel állapítja meg.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(2)</w:t>
      </w:r>
      <w:r w:rsidRPr="003C5CB1">
        <w:rPr>
          <w:rFonts w:cstheme="minorHAnsi"/>
        </w:rPr>
        <w:tab/>
        <w:t xml:space="preserve">Az (1) bekezdésben megállapított költségvetési bevételek forrásonkénti, a költségvetési kiadások jogcímenkénti megoszlását önkormányzati </w:t>
      </w:r>
      <w:proofErr w:type="gramStart"/>
      <w:r w:rsidRPr="003C5CB1">
        <w:rPr>
          <w:rFonts w:cstheme="minorHAnsi"/>
        </w:rPr>
        <w:t>szinten  és</w:t>
      </w:r>
      <w:proofErr w:type="gramEnd"/>
      <w:r w:rsidRPr="003C5CB1">
        <w:rPr>
          <w:rFonts w:cstheme="minorHAnsi"/>
        </w:rPr>
        <w:t xml:space="preserve"> azon belül kötelező feladatok, önként vállalt feladatok, állami (államigazgatási) feladatok szerinti bontásban továbbá a finanszírozási bevételeket és kiadásokat a rendelet </w:t>
      </w:r>
      <w:r w:rsidRPr="003C5CB1">
        <w:rPr>
          <w:rFonts w:cstheme="minorHAnsi"/>
          <w:i/>
        </w:rPr>
        <w:t>1.  melléklete</w:t>
      </w:r>
      <w:r w:rsidRPr="003C5CB1">
        <w:rPr>
          <w:rFonts w:cstheme="minorHAnsi"/>
        </w:rPr>
        <w:t xml:space="preserve"> alapján határozza meg a képviselő-testület.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(3)</w:t>
      </w:r>
      <w:r w:rsidRPr="003C5CB1">
        <w:rPr>
          <w:rFonts w:cstheme="minorHAnsi"/>
        </w:rPr>
        <w:tab/>
        <w:t xml:space="preserve">A működési és felhalmozási bevételek és kiadások előirányzatai mérlegszerű bemutatását önkormányzati szinten a </w:t>
      </w:r>
      <w:r w:rsidRPr="003C5CB1">
        <w:rPr>
          <w:rFonts w:cstheme="minorHAnsi"/>
          <w:i/>
        </w:rPr>
        <w:t>2. melléklet</w:t>
      </w:r>
      <w:r w:rsidRPr="003C5CB1">
        <w:rPr>
          <w:rFonts w:cstheme="minorHAnsi"/>
        </w:rPr>
        <w:t xml:space="preserve"> részletezi.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(4)</w:t>
      </w:r>
      <w:r w:rsidRPr="003C5CB1">
        <w:rPr>
          <w:rFonts w:cstheme="minorHAnsi"/>
        </w:rPr>
        <w:tab/>
        <w:t>A képviselő-testület a 2019. évben működésképességét veszélyeztető helyzet feloldására pályázatokat készít.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</w:p>
    <w:p w:rsidR="007A6D77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4.</w:t>
      </w:r>
      <w:r w:rsidR="007A6D77" w:rsidRPr="003C5CB1">
        <w:rPr>
          <w:rFonts w:cstheme="minorHAnsi"/>
          <w:b/>
        </w:rPr>
        <w:t xml:space="preserve"> A költségvetés részletezése</w:t>
      </w:r>
    </w:p>
    <w:p w:rsidR="003C5CB1" w:rsidRPr="003C5CB1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4.§</w:t>
      </w:r>
    </w:p>
    <w:p w:rsidR="007A6D77" w:rsidRPr="003C5CB1" w:rsidRDefault="007A6D77" w:rsidP="007A6D77">
      <w:pPr>
        <w:spacing w:before="120"/>
        <w:jc w:val="both"/>
        <w:rPr>
          <w:rFonts w:cstheme="minorHAnsi"/>
        </w:rPr>
      </w:pPr>
      <w:r w:rsidRPr="003C5CB1">
        <w:rPr>
          <w:rFonts w:cstheme="minorHAnsi"/>
        </w:rPr>
        <w:t>A Képviselő-testület az önkormányzat 2019. évi költségvetését részletesen a következők szerint állapítja meg: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 xml:space="preserve">Az Önkormányzat adósságot keletkeztető ügyletekből és kezességvállalásokból fennálló kötelezettségeit a </w:t>
      </w:r>
      <w:r w:rsidRPr="003C5CB1">
        <w:rPr>
          <w:rFonts w:cstheme="minorHAnsi"/>
          <w:i/>
        </w:rPr>
        <w:t>3.</w:t>
      </w:r>
      <w:r w:rsidRPr="003C5CB1">
        <w:rPr>
          <w:rFonts w:cstheme="minorHAnsi"/>
        </w:rPr>
        <w:t xml:space="preserve"> </w:t>
      </w:r>
      <w:r w:rsidRPr="003C5CB1">
        <w:rPr>
          <w:rFonts w:cstheme="minorHAnsi"/>
          <w:i/>
        </w:rPr>
        <w:t xml:space="preserve">melléklet </w:t>
      </w:r>
      <w:r w:rsidRPr="003C5CB1">
        <w:rPr>
          <w:rFonts w:cstheme="minorHAnsi"/>
        </w:rPr>
        <w:t>részletezi.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(2)</w:t>
      </w:r>
      <w:r w:rsidRPr="003C5CB1">
        <w:rPr>
          <w:rFonts w:cstheme="minorHAnsi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3C5CB1">
        <w:rPr>
          <w:rFonts w:cstheme="minorHAnsi"/>
          <w:i/>
        </w:rPr>
        <w:t>4. melléklet</w:t>
      </w:r>
      <w:r w:rsidRPr="003C5CB1">
        <w:rPr>
          <w:rFonts w:cstheme="minorHAnsi"/>
        </w:rPr>
        <w:t xml:space="preserve"> tartalmazza.     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(3)</w:t>
      </w:r>
      <w:r w:rsidRPr="003C5CB1">
        <w:rPr>
          <w:rFonts w:cstheme="minorHAnsi"/>
        </w:rPr>
        <w:tab/>
        <w:t xml:space="preserve">Az Önkormányzat 2019. évi adósságot keletkeztető fejlesztési céljait az </w:t>
      </w:r>
      <w:r w:rsidRPr="003C5CB1">
        <w:rPr>
          <w:rFonts w:cstheme="minorHAnsi"/>
          <w:i/>
        </w:rPr>
        <w:t>5.</w:t>
      </w:r>
      <w:r w:rsidRPr="003C5CB1">
        <w:rPr>
          <w:rFonts w:cstheme="minorHAnsi"/>
        </w:rPr>
        <w:t> </w:t>
      </w:r>
      <w:r w:rsidRPr="003C5CB1">
        <w:rPr>
          <w:rFonts w:cstheme="minorHAnsi"/>
          <w:i/>
        </w:rPr>
        <w:t>melléklet</w:t>
      </w:r>
      <w:r w:rsidRPr="003C5CB1">
        <w:rPr>
          <w:rFonts w:cstheme="minorHAnsi"/>
        </w:rPr>
        <w:t xml:space="preserve"> részletezi.      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(4)</w:t>
      </w:r>
      <w:r w:rsidRPr="003C5CB1">
        <w:rPr>
          <w:rFonts w:cstheme="minorHAnsi"/>
        </w:rPr>
        <w:tab/>
        <w:t xml:space="preserve">Az Önkormányzat költségvetésében szereplő beruházások kiadásainak beruházásonkénti részletezését a </w:t>
      </w:r>
      <w:r w:rsidRPr="003C5CB1">
        <w:rPr>
          <w:rFonts w:cstheme="minorHAnsi"/>
          <w:i/>
        </w:rPr>
        <w:t>6. melléklet</w:t>
      </w:r>
      <w:r w:rsidRPr="003C5CB1">
        <w:rPr>
          <w:rFonts w:cstheme="minorHAnsi"/>
        </w:rPr>
        <w:t xml:space="preserve"> szerint határozza meg.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(5)</w:t>
      </w:r>
      <w:r w:rsidRPr="003C5CB1">
        <w:rPr>
          <w:rFonts w:cstheme="minorHAnsi"/>
        </w:rPr>
        <w:tab/>
        <w:t xml:space="preserve">Az önkormányzat költségvetésében szereplő felújítások kiadásait felújításonként a </w:t>
      </w:r>
      <w:r w:rsidRPr="003C5CB1">
        <w:rPr>
          <w:rFonts w:cstheme="minorHAnsi"/>
          <w:i/>
        </w:rPr>
        <w:t>7.</w:t>
      </w:r>
      <w:r w:rsidRPr="003C5CB1">
        <w:rPr>
          <w:rFonts w:cstheme="minorHAnsi"/>
        </w:rPr>
        <w:t xml:space="preserve"> </w:t>
      </w:r>
      <w:r w:rsidRPr="003C5CB1">
        <w:rPr>
          <w:rFonts w:cstheme="minorHAnsi"/>
          <w:i/>
        </w:rPr>
        <w:t xml:space="preserve">melléklet </w:t>
      </w:r>
      <w:r w:rsidRPr="003C5CB1">
        <w:rPr>
          <w:rFonts w:cstheme="minorHAnsi"/>
        </w:rPr>
        <w:t>szerint részletezi.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(6)</w:t>
      </w:r>
      <w:r w:rsidRPr="003C5CB1">
        <w:rPr>
          <w:rFonts w:cstheme="minorHAnsi"/>
        </w:rPr>
        <w:tab/>
        <w:t xml:space="preserve">Az EU-s támogatással megvalósuló programokat és projekteket, valamint az önkormányzaton kívül megvalósuló projektekhez való hozzájárulást a </w:t>
      </w:r>
      <w:r w:rsidRPr="003C5CB1">
        <w:rPr>
          <w:rFonts w:cstheme="minorHAnsi"/>
          <w:i/>
        </w:rPr>
        <w:t>8. melléklet</w:t>
      </w:r>
      <w:r w:rsidRPr="003C5CB1">
        <w:rPr>
          <w:rFonts w:cstheme="minorHAnsi"/>
        </w:rPr>
        <w:t xml:space="preserve"> szerint hagyja jóvá.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lastRenderedPageBreak/>
        <w:t>(7)</w:t>
      </w:r>
      <w:r w:rsidRPr="003C5CB1">
        <w:rPr>
          <w:rFonts w:cstheme="minorHAnsi"/>
        </w:rPr>
        <w:tab/>
        <w:t xml:space="preserve">A 2. § (1) bekezdésében megállapított bevételek és kiadások önkormányzati, polgármesteri (közös) hivatali, továbbá költségvetési szervenkénti megoszlását, és az éves (engedélyezett) létszám előirányzatot és a közfoglalkoztatottak létszámát költségvetési szervenként, feladatonként a </w:t>
      </w:r>
      <w:r w:rsidRPr="003C5CB1">
        <w:rPr>
          <w:rFonts w:cstheme="minorHAnsi"/>
          <w:i/>
        </w:rPr>
        <w:t xml:space="preserve">9. melléklet </w:t>
      </w:r>
      <w:r w:rsidRPr="003C5CB1">
        <w:rPr>
          <w:rFonts w:cstheme="minorHAnsi"/>
        </w:rPr>
        <w:t>szerint határozza meg.</w:t>
      </w:r>
    </w:p>
    <w:p w:rsidR="007A6D77" w:rsidRPr="003C5CB1" w:rsidRDefault="007A6D77" w:rsidP="007A6D77">
      <w:pPr>
        <w:tabs>
          <w:tab w:val="left" w:pos="426"/>
        </w:tabs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(8)</w:t>
      </w:r>
      <w:r w:rsidRPr="003C5CB1">
        <w:rPr>
          <w:rFonts w:cstheme="minorHAnsi"/>
        </w:rPr>
        <w:tab/>
        <w:t xml:space="preserve">Az Önkormányzat a kiadások között 1 000 </w:t>
      </w:r>
      <w:proofErr w:type="spellStart"/>
      <w:r w:rsidRPr="003C5CB1">
        <w:rPr>
          <w:rFonts w:cstheme="minorHAnsi"/>
        </w:rPr>
        <w:t>000</w:t>
      </w:r>
      <w:proofErr w:type="spellEnd"/>
      <w:r w:rsidRPr="003C5CB1">
        <w:rPr>
          <w:rFonts w:cstheme="minorHAnsi"/>
        </w:rPr>
        <w:t xml:space="preserve"> </w:t>
      </w:r>
      <w:proofErr w:type="gramStart"/>
      <w:r w:rsidRPr="003C5CB1">
        <w:rPr>
          <w:rFonts w:cstheme="minorHAnsi"/>
        </w:rPr>
        <w:t>Ft  általános</w:t>
      </w:r>
      <w:proofErr w:type="gramEnd"/>
      <w:r w:rsidRPr="003C5CB1">
        <w:rPr>
          <w:rFonts w:cstheme="minorHAnsi"/>
        </w:rPr>
        <w:t xml:space="preserve"> tartalékot állapít meg.</w:t>
      </w:r>
    </w:p>
    <w:p w:rsidR="007A6D77" w:rsidRPr="003C5CB1" w:rsidRDefault="007A6D77" w:rsidP="007A6D77">
      <w:pPr>
        <w:tabs>
          <w:tab w:val="left" w:pos="426"/>
        </w:tabs>
        <w:spacing w:before="120"/>
        <w:ind w:left="426" w:hanging="426"/>
        <w:jc w:val="both"/>
        <w:rPr>
          <w:rFonts w:cstheme="minorHAnsi"/>
        </w:rPr>
      </w:pPr>
    </w:p>
    <w:p w:rsidR="007A6D77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5.</w:t>
      </w:r>
      <w:r w:rsidR="007A6D77" w:rsidRPr="003C5CB1">
        <w:rPr>
          <w:rFonts w:cstheme="minorHAnsi"/>
          <w:b/>
        </w:rPr>
        <w:t xml:space="preserve"> A költségvetés végrehajtásának szabályai</w:t>
      </w:r>
    </w:p>
    <w:p w:rsidR="003C5CB1" w:rsidRPr="003C5CB1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5.§</w:t>
      </w:r>
    </w:p>
    <w:p w:rsidR="007A6D77" w:rsidRPr="003C5CB1" w:rsidRDefault="007A6D77" w:rsidP="007A6D77">
      <w:pPr>
        <w:tabs>
          <w:tab w:val="left" w:pos="456"/>
        </w:tabs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(1)</w:t>
      </w:r>
      <w:r w:rsidRPr="003C5CB1">
        <w:rPr>
          <w:rFonts w:cstheme="minorHAnsi"/>
        </w:rPr>
        <w:tab/>
        <w:t>Az önkormányzati szintű költségvetés végrehajtásáért a polgármester, a könyvvezetéssel kapcsolatos feladatok ellátásáért a jegyző a felelős.</w:t>
      </w:r>
    </w:p>
    <w:p w:rsidR="007A6D77" w:rsidRPr="003C5CB1" w:rsidRDefault="007A6D77" w:rsidP="007A6D77">
      <w:pPr>
        <w:tabs>
          <w:tab w:val="left" w:pos="426"/>
        </w:tabs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 xml:space="preserve"> (2)</w:t>
      </w:r>
      <w:r w:rsidRPr="003C5CB1">
        <w:rPr>
          <w:rFonts w:cstheme="minorHAnsi"/>
        </w:rPr>
        <w:tab/>
        <w:t>Az Önkormányzat gazdálkodásának biztonságáért a képviselő-testület, a gazdálkodás szabályszerűségéért a polgármester felelős.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(3)</w:t>
      </w:r>
      <w:r w:rsidRPr="003C5CB1">
        <w:rPr>
          <w:rFonts w:cstheme="minorHAnsi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(4)</w:t>
      </w:r>
      <w:r w:rsidRPr="003C5CB1">
        <w:rPr>
          <w:rFonts w:cstheme="minorHAnsi"/>
        </w:rPr>
        <w:tab/>
        <w:t>A költségvetési szerveknél a jutalmazásra fordítható és kifizethető összeg nem haladhatja meg a rendszeres személyi juttatások előirányzatának 10 %-át. Ennek fedezetére a személyi juttatások évközi megtakarítása és a személyi juttatások előirányzatának növelésére fordítható forrás szolgálhat.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(5)</w:t>
      </w:r>
      <w:r w:rsidRPr="003C5CB1">
        <w:rPr>
          <w:rFonts w:cstheme="minorHAnsi"/>
        </w:rPr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(6)</w:t>
      </w:r>
      <w:r w:rsidRPr="003C5CB1">
        <w:rPr>
          <w:rFonts w:cstheme="minorHAnsi"/>
        </w:rPr>
        <w:tab/>
        <w:t xml:space="preserve">A költségvetési szerv vezetője e rendelet </w:t>
      </w:r>
      <w:r w:rsidRPr="003C5CB1">
        <w:rPr>
          <w:rFonts w:cstheme="minorHAnsi"/>
          <w:i/>
        </w:rPr>
        <w:t>10. mellékletében</w:t>
      </w:r>
      <w:r w:rsidRPr="003C5CB1">
        <w:rPr>
          <w:rFonts w:cstheme="minorHAnsi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</w:t>
      </w:r>
      <w:r w:rsidRPr="003C5CB1">
        <w:rPr>
          <w:rFonts w:cstheme="minorHAnsi"/>
          <w:vertAlign w:val="superscript"/>
        </w:rPr>
        <w:footnoteReference w:id="1"/>
      </w:r>
      <w:r w:rsidRPr="003C5CB1">
        <w:rPr>
          <w:rFonts w:cstheme="minorHAnsi"/>
        </w:rPr>
        <w:t xml:space="preserve"> az önkormányzat jegyzője részére köteles adatszolgáltatást teljesíteni.</w:t>
      </w:r>
    </w:p>
    <w:p w:rsidR="007A6D77" w:rsidRPr="003C5CB1" w:rsidRDefault="007A6D77" w:rsidP="007A6D77">
      <w:pPr>
        <w:spacing w:before="120" w:after="120"/>
        <w:ind w:left="425" w:hanging="425"/>
        <w:jc w:val="both"/>
        <w:rPr>
          <w:rFonts w:cstheme="minorHAnsi"/>
        </w:rPr>
      </w:pPr>
      <w:r w:rsidRPr="003C5CB1">
        <w:rPr>
          <w:rFonts w:cstheme="minorHAnsi"/>
        </w:rPr>
        <w:t xml:space="preserve"> (7)</w:t>
      </w:r>
      <w:r w:rsidRPr="003C5CB1">
        <w:rPr>
          <w:rFonts w:cstheme="minorHAnsi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 xml:space="preserve"> (8) A finanszírozási bevételekkel és kiadásokkal kapcsolatos hatásköröket a Képviselő-testület gyakorolja. Az önkormányzat a 2019. évi feladatellátása során felmerülő, működéssel kapcsolatos, átmeneti likviditási nehézségeket </w:t>
      </w:r>
      <w:proofErr w:type="gramStart"/>
      <w:r w:rsidRPr="003C5CB1">
        <w:rPr>
          <w:rFonts w:cstheme="minorHAnsi"/>
        </w:rPr>
        <w:t>folyószámla hitel</w:t>
      </w:r>
      <w:proofErr w:type="gramEnd"/>
      <w:r w:rsidRPr="003C5CB1">
        <w:rPr>
          <w:rFonts w:cstheme="minorHAnsi"/>
        </w:rPr>
        <w:t xml:space="preserve"> igénybevételével tervezi megoldani az erre vonatkozó szabályozási rendszer betartásával.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(9) A munkáltató jutalmat, jutalékot – önkormányzati és intézményi szinten, egységesített elvek alapján – a Képviselő-testület által e célokra megállapított, jóváhagyott előirányzatból fizethet </w:t>
      </w:r>
      <w:r w:rsidRPr="003C5CB1">
        <w:rPr>
          <w:rFonts w:cstheme="minorHAnsi"/>
        </w:rPr>
        <w:lastRenderedPageBreak/>
        <w:t>ki. Jutalmazásra, személyi ösztönzésre, céljuttatásra együttesen kifizetett összeg az egységes rovatrend K1101 Törvény szerinti illetmények, munkabérek rovat eredeti előirányzatának 12 %-át nem haladhatja meg.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>(10) Az Önkormányzat által támogatott szervezetek kötelesek legkésőbb a tárgyév december 31. napig a támogatott célnak megfelelő felhasználásról számlákkal igazolt írásbeli elszámolást készíteni. A folyó évi támogatás benyújtására csak az jogosult, akinek az előző évi támogatás számlákkal igazolt elszámolása elfogadásra került. Az elszámolási határidő meghosszabbítását a polgármester engedélyezheti.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(11) Gulács Község Önkormányzatának Képviselő-testülete felhatalmazza a Polgármestert, hogy bármely azonnali intézkedést igénylő sürgős esetben – különös tekintettel a közvetlen életveszélyes állapot megszüntetésére irányuló eseteket – a szükséges valamennyi intézkedést megtegye két testületi ülés között egy millió forint összeghatárig, az általános tartalék terhére. Gulács Község Polgármestere az így megtett intézkedésekről köteles a soron következő Képviselő-testületi ülésen beszámolni. 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(12) A 2019. évi központi költségvetésről szóló 2018. évi L. törvény 60. § (6) bekezdése alapján 2019. évben a képviselő-testület hivatalánál foglalkoztatott köztisztviselők vonatkozásában az </w:t>
      </w:r>
      <w:proofErr w:type="gramStart"/>
      <w:r w:rsidRPr="003C5CB1">
        <w:rPr>
          <w:rFonts w:cstheme="minorHAnsi"/>
        </w:rPr>
        <w:t>illetményalapot  49</w:t>
      </w:r>
      <w:proofErr w:type="gramEnd"/>
      <w:r w:rsidRPr="003C5CB1">
        <w:rPr>
          <w:rFonts w:cstheme="minorHAnsi"/>
        </w:rPr>
        <w:t xml:space="preserve"> 920 Ft összegben állapítja meg. 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(13) A Hivatalnál foglalkoztatott </w:t>
      </w:r>
      <w:proofErr w:type="gramStart"/>
      <w:r w:rsidRPr="003C5CB1">
        <w:rPr>
          <w:rFonts w:cstheme="minorHAnsi"/>
        </w:rPr>
        <w:t>irodavezetők  vezetői</w:t>
      </w:r>
      <w:proofErr w:type="gramEnd"/>
      <w:r w:rsidRPr="003C5CB1">
        <w:rPr>
          <w:rFonts w:cstheme="minorHAnsi"/>
        </w:rPr>
        <w:t xml:space="preserve"> illetménypótlékra jogosultak, melynek mértéke - a közszolgálati tisztviselőkről szóló 2011. évi CXCIX. törvény 236. § (4) bekezdés b) pontjában foglaltakra tekintettel  irodavezetők esetén az alapilletmény 15 %-</w:t>
      </w:r>
      <w:proofErr w:type="gramStart"/>
      <w:r w:rsidRPr="003C5CB1">
        <w:rPr>
          <w:rFonts w:cstheme="minorHAnsi"/>
        </w:rPr>
        <w:t>a</w:t>
      </w:r>
      <w:proofErr w:type="gramEnd"/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(14 ) A Hivatalnál foglalkoztatott valamennyi köztisztviselő illetménykiegészítésre jogosult. Az illetménykiegészítés 2019. évi mértéke – a közszolgálati tisztviselőkről szóló 2011. évi CXCIX. törvény 234. § (3) bekezdés c) pontjában, valamint a 234. § (4) bekezdésben foglaltakra tekintettel –</w:t>
      </w:r>
    </w:p>
    <w:p w:rsidR="007A6D77" w:rsidRPr="003C5CB1" w:rsidRDefault="007A6D77" w:rsidP="007A6D77">
      <w:pPr>
        <w:ind w:left="420"/>
        <w:jc w:val="both"/>
        <w:rPr>
          <w:rFonts w:cstheme="minorHAnsi"/>
        </w:rPr>
      </w:pPr>
      <w:r w:rsidRPr="003C5CB1">
        <w:rPr>
          <w:rFonts w:cstheme="minorHAnsi"/>
        </w:rPr>
        <w:t>a) felsőfokú iskolai végzettségű köztisztviselő esetén a köztisztviselő alapilletményének 20 %-</w:t>
      </w:r>
      <w:proofErr w:type="gramStart"/>
      <w:r w:rsidRPr="003C5CB1">
        <w:rPr>
          <w:rFonts w:cstheme="minorHAnsi"/>
        </w:rPr>
        <w:t>a</w:t>
      </w:r>
      <w:proofErr w:type="gramEnd"/>
      <w:r w:rsidRPr="003C5CB1">
        <w:rPr>
          <w:rFonts w:cstheme="minorHAnsi"/>
        </w:rPr>
        <w:t>,</w:t>
      </w: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</w:t>
      </w:r>
      <w:r w:rsidRPr="003C5CB1">
        <w:rPr>
          <w:rFonts w:cstheme="minorHAnsi"/>
        </w:rPr>
        <w:tab/>
        <w:t>b) középfokú iskolai végzettségű köztisztviselő esetén a köztisztviselő alapilletményének 20 %-</w:t>
      </w:r>
      <w:proofErr w:type="gramStart"/>
      <w:r w:rsidRPr="003C5CB1">
        <w:rPr>
          <w:rFonts w:cstheme="minorHAnsi"/>
        </w:rPr>
        <w:t>a.</w:t>
      </w:r>
      <w:proofErr w:type="gramEnd"/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(15 ) A közszolgálati tisztviselőkről szóló 2011.évi CXCIX törvény 151. § (1) bekezdése alapján a Képviselő Testület hivatalánál foglalkoztatottak bruttó </w:t>
      </w:r>
      <w:smartTag w:uri="urn:schemas-microsoft-com:office:smarttags" w:element="metricconverter">
        <w:smartTagPr>
          <w:attr w:name="ProductID" w:val="200.000 Ft"/>
        </w:smartTagPr>
        <w:r w:rsidRPr="003C5CB1">
          <w:rPr>
            <w:rFonts w:cstheme="minorHAnsi"/>
          </w:rPr>
          <w:t>200.000 Ft</w:t>
        </w:r>
      </w:smartTag>
      <w:r w:rsidRPr="003C5CB1">
        <w:rPr>
          <w:rFonts w:cstheme="minorHAnsi"/>
        </w:rPr>
        <w:t xml:space="preserve"> </w:t>
      </w:r>
      <w:proofErr w:type="spellStart"/>
      <w:r w:rsidRPr="003C5CB1">
        <w:rPr>
          <w:rFonts w:cstheme="minorHAnsi"/>
        </w:rPr>
        <w:t>cafetériára</w:t>
      </w:r>
      <w:proofErr w:type="spellEnd"/>
      <w:r w:rsidRPr="003C5CB1">
        <w:rPr>
          <w:rFonts w:cstheme="minorHAnsi"/>
        </w:rPr>
        <w:t xml:space="preserve"> jogosultak 2019. évben. </w:t>
      </w:r>
    </w:p>
    <w:p w:rsidR="007A6D77" w:rsidRPr="003C5CB1" w:rsidRDefault="007A6D77" w:rsidP="003C5CB1">
      <w:pPr>
        <w:jc w:val="both"/>
        <w:rPr>
          <w:rFonts w:cstheme="minorHAnsi"/>
        </w:rPr>
      </w:pPr>
    </w:p>
    <w:p w:rsidR="007A6D77" w:rsidRPr="003C5CB1" w:rsidRDefault="007A6D77" w:rsidP="007A6D77">
      <w:pPr>
        <w:ind w:left="420" w:hanging="420"/>
        <w:jc w:val="both"/>
        <w:rPr>
          <w:rFonts w:cstheme="minorHAnsi"/>
        </w:rPr>
      </w:pPr>
      <w:r w:rsidRPr="003C5CB1">
        <w:rPr>
          <w:rFonts w:cstheme="minorHAnsi"/>
        </w:rPr>
        <w:t xml:space="preserve"> (16) A személyes gondoskodást nyújtó gyermekjóléti alapellátások és gyermekvédelmi szakellátások térítési díjáról és az igénylésükhöz felhasználható bizonyítékokról szóló 328/2011. (XII. 29.) Korm. rendelet 13/</w:t>
      </w:r>
      <w:proofErr w:type="gramStart"/>
      <w:r w:rsidRPr="003C5CB1">
        <w:rPr>
          <w:rFonts w:cstheme="minorHAnsi"/>
        </w:rPr>
        <w:t>A</w:t>
      </w:r>
      <w:proofErr w:type="gramEnd"/>
      <w:r w:rsidRPr="003C5CB1">
        <w:rPr>
          <w:rFonts w:cstheme="minorHAnsi"/>
        </w:rPr>
        <w:t>. § (3) bekezdés alapján a települési önkormányzat a szünidei gyermekétkeztetést nyújt. A központilag meghatározott tavaszi, őszi, téli szünidei napokon kívül a nyári tanítási szünet alatti étkeztetést 43 munkanapon biztosítja, szervezi meg.</w:t>
      </w:r>
    </w:p>
    <w:p w:rsidR="007A6D77" w:rsidRDefault="007A6D77" w:rsidP="007A6D77">
      <w:pPr>
        <w:spacing w:before="120"/>
        <w:ind w:left="456"/>
        <w:jc w:val="both"/>
        <w:rPr>
          <w:rFonts w:cstheme="minorHAnsi"/>
        </w:rPr>
      </w:pPr>
    </w:p>
    <w:p w:rsidR="00EE5B2B" w:rsidRPr="003C5CB1" w:rsidRDefault="00EE5B2B" w:rsidP="007A6D77">
      <w:pPr>
        <w:spacing w:before="120"/>
        <w:ind w:left="456"/>
        <w:jc w:val="both"/>
        <w:rPr>
          <w:rFonts w:cstheme="minorHAnsi"/>
        </w:rPr>
      </w:pPr>
    </w:p>
    <w:p w:rsidR="007A6D77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6.</w:t>
      </w:r>
      <w:r w:rsidR="007A6D77" w:rsidRPr="003C5CB1">
        <w:rPr>
          <w:rFonts w:cstheme="minorHAnsi"/>
          <w:b/>
        </w:rPr>
        <w:t xml:space="preserve"> Az előirányzatok módosítása</w:t>
      </w:r>
    </w:p>
    <w:p w:rsidR="003C5CB1" w:rsidRPr="003C5CB1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6.§</w:t>
      </w:r>
    </w:p>
    <w:p w:rsidR="007A6D77" w:rsidRPr="003C5CB1" w:rsidRDefault="007A6D77" w:rsidP="007A6D77">
      <w:pPr>
        <w:spacing w:before="120"/>
        <w:ind w:left="456" w:hanging="397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 xml:space="preserve">Az Önkormányzat bevételeinek és kiadásainak módosításáról, a kiadási előirányzatok közötti átcsoportosításról a képviselő-testület dönt. </w:t>
      </w:r>
    </w:p>
    <w:p w:rsidR="007A6D77" w:rsidRPr="003C5CB1" w:rsidRDefault="007A6D77" w:rsidP="007A6D77">
      <w:pPr>
        <w:spacing w:after="80"/>
        <w:ind w:left="397" w:hanging="397"/>
        <w:jc w:val="both"/>
        <w:rPr>
          <w:rFonts w:cstheme="minorHAnsi"/>
        </w:rPr>
      </w:pPr>
      <w:r w:rsidRPr="003C5CB1">
        <w:rPr>
          <w:rFonts w:cstheme="minorHAnsi"/>
        </w:rPr>
        <w:t xml:space="preserve">(2)  A képviselő-testület az Önkormányzat bevételeinek és kiadásainak módosítását és a kiadási kiemelt előirányzatok közötti átcsoportosítás jogát 5 000 </w:t>
      </w:r>
      <w:proofErr w:type="spellStart"/>
      <w:r w:rsidRPr="003C5CB1">
        <w:rPr>
          <w:rFonts w:cstheme="minorHAnsi"/>
        </w:rPr>
        <w:t>eFt</w:t>
      </w:r>
      <w:proofErr w:type="spellEnd"/>
      <w:r w:rsidRPr="003C5CB1">
        <w:rPr>
          <w:rFonts w:cstheme="minorHAnsi"/>
        </w:rPr>
        <w:t xml:space="preserve"> összeghatárig - mely esetenként a 1 000 </w:t>
      </w:r>
      <w:proofErr w:type="spellStart"/>
      <w:r w:rsidRPr="003C5CB1">
        <w:rPr>
          <w:rFonts w:cstheme="minorHAnsi"/>
        </w:rPr>
        <w:t>eFt</w:t>
      </w:r>
      <w:proofErr w:type="spellEnd"/>
      <w:r w:rsidRPr="003C5CB1">
        <w:rPr>
          <w:rFonts w:cstheme="minorHAnsi"/>
        </w:rPr>
        <w:t xml:space="preserve"> összeghatárt nem haladhatja meg - a polgármesterre átruházza. Egyéb esetekben a képviselő-testület a kiadási előirányzatok közötti átcsoportosítás jogát fenntartja magának.</w:t>
      </w:r>
      <w:r w:rsidRPr="003C5CB1">
        <w:rPr>
          <w:rFonts w:cstheme="minorHAnsi"/>
          <w:i/>
        </w:rPr>
        <w:t xml:space="preserve"> </w:t>
      </w:r>
    </w:p>
    <w:p w:rsidR="007A6D77" w:rsidRPr="003C5CB1" w:rsidRDefault="007A6D77" w:rsidP="007A6D77">
      <w:pPr>
        <w:spacing w:before="120"/>
        <w:ind w:left="397" w:hanging="397"/>
        <w:jc w:val="both"/>
        <w:rPr>
          <w:rFonts w:cstheme="minorHAnsi"/>
        </w:rPr>
      </w:pPr>
      <w:r w:rsidRPr="003C5CB1">
        <w:rPr>
          <w:rFonts w:cstheme="minorHAnsi"/>
        </w:rPr>
        <w:t xml:space="preserve"> (3) Az (2) bekezdésben foglalt átcsoportosításról a polgármester negyedévente köteles beszámolni, a költségvetés módosítására egyidejűleg javaslatot tenni. Az átruházott hatáskörű előirányzat-módosítási jogkör 2019. december 31-ig gyakorolható.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 xml:space="preserve">(4) A képviselő-testület a jóváhagyott kiadási előirányzatok közötti átcsoportosítás jogát minden esetben fenntartja magának. </w:t>
      </w:r>
    </w:p>
    <w:p w:rsidR="007A6D77" w:rsidRPr="003C5CB1" w:rsidRDefault="007A6D77" w:rsidP="007A6D77">
      <w:pPr>
        <w:spacing w:before="120" w:after="120"/>
        <w:ind w:left="454" w:hanging="454"/>
        <w:jc w:val="both"/>
        <w:rPr>
          <w:rFonts w:cstheme="minorHAnsi"/>
        </w:rPr>
      </w:pPr>
      <w:r w:rsidRPr="003C5CB1">
        <w:rPr>
          <w:rFonts w:cstheme="minorHAnsi"/>
        </w:rPr>
        <w:t>(5)</w:t>
      </w:r>
      <w:r w:rsidRPr="003C5CB1">
        <w:rPr>
          <w:rFonts w:cstheme="minorHAnsi"/>
        </w:rPr>
        <w:tab/>
        <w:t xml:space="preserve">A költségvetési szerv a költségvetése kiemelt előirányzatai és a kiemelt előirányzaton belüli rovatok között átcsoportosítást hajthat végre. </w:t>
      </w:r>
    </w:p>
    <w:p w:rsidR="007A6D77" w:rsidRPr="003C5CB1" w:rsidRDefault="007A6D77" w:rsidP="007A6D77">
      <w:pPr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(6) A képviselő-testület a költségvetési rendelet 5. § (2) és (5) bekezdés szerinti előirányzat-módosítás, előirányzat-átcsoportosítás átvezetéseként - az első negyedév kivételével - negyedévenként, (a döntése szerinti időpontokban),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(7)</w:t>
      </w:r>
      <w:r w:rsidRPr="003C5CB1">
        <w:rPr>
          <w:rFonts w:cstheme="minorHAnsi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(8)</w:t>
      </w:r>
      <w:r w:rsidRPr="003C5CB1">
        <w:rPr>
          <w:rFonts w:cstheme="minorHAnsi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 xml:space="preserve"> (9)</w:t>
      </w:r>
      <w:r w:rsidRPr="003C5CB1">
        <w:rPr>
          <w:rFonts w:cstheme="minorHAnsi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</w:p>
    <w:p w:rsidR="007A6D77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7.</w:t>
      </w:r>
      <w:r w:rsidR="007A6D77" w:rsidRPr="003C5CB1">
        <w:rPr>
          <w:rFonts w:cstheme="minorHAnsi"/>
          <w:b/>
        </w:rPr>
        <w:t xml:space="preserve"> A gazdálkodás szabályai</w:t>
      </w:r>
    </w:p>
    <w:p w:rsidR="003C5CB1" w:rsidRPr="003C5CB1" w:rsidRDefault="003C5CB1" w:rsidP="007A6D77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7.§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lastRenderedPageBreak/>
        <w:t>(2)</w:t>
      </w:r>
      <w:r w:rsidRPr="003C5CB1">
        <w:rPr>
          <w:rFonts w:cstheme="minorHAnsi"/>
        </w:rPr>
        <w:tab/>
        <w:t xml:space="preserve">A költségvetési szervek az alapfeladatai ellátását szolgáló személyi juttatásokkal és az azokhoz kapcsolódó járulékok és egyéb közterhek előirányzataival minden esetben, egyéb </w:t>
      </w:r>
      <w:proofErr w:type="gramStart"/>
      <w:r w:rsidRPr="003C5CB1">
        <w:rPr>
          <w:rFonts w:cstheme="minorHAnsi"/>
        </w:rPr>
        <w:t>előirányzatokkal  a</w:t>
      </w:r>
      <w:proofErr w:type="gramEnd"/>
      <w:r w:rsidRPr="003C5CB1">
        <w:rPr>
          <w:rFonts w:cstheme="minorHAnsi"/>
        </w:rPr>
        <w:t xml:space="preserve"> munkamegosztási megállapodásban foglaltaknak megfelelően rendelkezik.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(3)</w:t>
      </w:r>
      <w:r w:rsidRPr="003C5CB1">
        <w:rPr>
          <w:rFonts w:cstheme="minorHAnsi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  <w:r w:rsidRPr="003C5CB1">
        <w:rPr>
          <w:rFonts w:cstheme="minorHAnsi"/>
        </w:rPr>
        <w:t>(4)</w:t>
      </w:r>
      <w:r w:rsidRPr="003C5CB1">
        <w:rPr>
          <w:rFonts w:cstheme="minorHAnsi"/>
        </w:rPr>
        <w:tab/>
        <w:t>Az önkormányzati hivatal, valamint a költségvetési szervek az évközi előirányzat-módosításokról a jegyző által elrendelt formában kötelesek naprakész nyilvántartást vezetni.</w:t>
      </w:r>
    </w:p>
    <w:p w:rsidR="007A6D77" w:rsidRPr="003C5CB1" w:rsidRDefault="007A6D77" w:rsidP="007A6D77">
      <w:pPr>
        <w:spacing w:before="120"/>
        <w:ind w:left="456" w:hanging="456"/>
        <w:jc w:val="both"/>
        <w:rPr>
          <w:rFonts w:cstheme="minorHAnsi"/>
        </w:rPr>
      </w:pPr>
    </w:p>
    <w:p w:rsidR="007A6D77" w:rsidRDefault="00EE5B2B" w:rsidP="007A6D77">
      <w:pPr>
        <w:spacing w:before="240" w:after="240"/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C5CB1">
        <w:rPr>
          <w:rFonts w:cstheme="minorHAnsi"/>
          <w:b/>
        </w:rPr>
        <w:t>8.</w:t>
      </w:r>
      <w:r w:rsidR="007A6D77" w:rsidRPr="003C5CB1">
        <w:rPr>
          <w:rFonts w:cstheme="minorHAnsi"/>
          <w:b/>
        </w:rPr>
        <w:t>A költségvetés végrehajtásának ellenőrzése</w:t>
      </w:r>
    </w:p>
    <w:p w:rsidR="003C5CB1" w:rsidRPr="003C5CB1" w:rsidRDefault="00EE5B2B" w:rsidP="00EE5B2B">
      <w:pPr>
        <w:spacing w:before="240" w:after="240"/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</w:t>
      </w:r>
      <w:r w:rsidR="003C5CB1">
        <w:rPr>
          <w:rFonts w:cstheme="minorHAnsi"/>
          <w:b/>
        </w:rPr>
        <w:t>8.§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(1)</w:t>
      </w:r>
      <w:r w:rsidRPr="003C5CB1">
        <w:rPr>
          <w:rFonts w:cstheme="minorHAnsi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>(2)</w:t>
      </w:r>
      <w:r w:rsidRPr="003C5CB1">
        <w:rPr>
          <w:rFonts w:cstheme="minorHAnsi"/>
        </w:rPr>
        <w:tab/>
        <w:t>Az Önkormányzat a belső ellenőrzés kialakításáról a Tarpai KÖH útján gondoskodik. A megfelelő működtetésről és a függetlenség biztosításáról a jegyző köteles gondoskodni.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</w:p>
    <w:p w:rsidR="007A6D77" w:rsidRDefault="003C5CB1" w:rsidP="007A6D77">
      <w:pPr>
        <w:pStyle w:val="Cmsor1"/>
        <w:spacing w:before="240" w:after="24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9.</w:t>
      </w:r>
      <w:r w:rsidR="007A6D77" w:rsidRPr="003C5CB1">
        <w:rPr>
          <w:rFonts w:asciiTheme="minorHAnsi" w:hAnsiTheme="minorHAnsi" w:cstheme="minorHAnsi"/>
          <w:i w:val="0"/>
          <w:sz w:val="22"/>
          <w:szCs w:val="22"/>
        </w:rPr>
        <w:t xml:space="preserve"> Záró és vegyes rendelkezések</w:t>
      </w:r>
    </w:p>
    <w:p w:rsidR="003C5CB1" w:rsidRPr="0036560D" w:rsidRDefault="003C5CB1" w:rsidP="003C5CB1">
      <w:pPr>
        <w:jc w:val="center"/>
        <w:rPr>
          <w:b/>
        </w:rPr>
      </w:pPr>
      <w:r w:rsidRPr="0036560D">
        <w:rPr>
          <w:b/>
        </w:rPr>
        <w:t>9.§</w:t>
      </w:r>
    </w:p>
    <w:p w:rsidR="007A6D77" w:rsidRPr="003C5CB1" w:rsidRDefault="007A6D77" w:rsidP="007A6D77">
      <w:pPr>
        <w:spacing w:before="120"/>
        <w:ind w:left="426" w:hanging="426"/>
        <w:jc w:val="both"/>
        <w:rPr>
          <w:rFonts w:cstheme="minorHAnsi"/>
        </w:rPr>
      </w:pPr>
      <w:r w:rsidRPr="003C5CB1">
        <w:rPr>
          <w:rFonts w:cstheme="minorHAnsi"/>
        </w:rPr>
        <w:tab/>
        <w:t xml:space="preserve">Ez a </w:t>
      </w:r>
      <w:proofErr w:type="gramStart"/>
      <w:r w:rsidRPr="003C5CB1">
        <w:rPr>
          <w:rFonts w:cstheme="minorHAnsi"/>
        </w:rPr>
        <w:t>rendelet  2019</w:t>
      </w:r>
      <w:r w:rsidR="006D26A8">
        <w:rPr>
          <w:rFonts w:cstheme="minorHAnsi"/>
        </w:rPr>
        <w:t>.</w:t>
      </w:r>
      <w:proofErr w:type="gramEnd"/>
      <w:r w:rsidR="006D26A8">
        <w:rPr>
          <w:rFonts w:cstheme="minorHAnsi"/>
        </w:rPr>
        <w:t xml:space="preserve"> február 18. napján lép hatályba és 2022. december 31. napján hatályát veszti.  A rendelet rendelkezéseit 2019. január 1. napjától kell alkalmazni. </w:t>
      </w:r>
    </w:p>
    <w:p w:rsidR="007A6D77" w:rsidRPr="003C5CB1" w:rsidRDefault="007A6D77" w:rsidP="007A6D77">
      <w:pPr>
        <w:spacing w:before="60" w:after="120"/>
        <w:jc w:val="both"/>
        <w:rPr>
          <w:rFonts w:cstheme="minorHAnsi"/>
        </w:rPr>
      </w:pPr>
    </w:p>
    <w:p w:rsidR="007A6D77" w:rsidRPr="00EE5B2B" w:rsidRDefault="006D26A8" w:rsidP="007A6D77">
      <w:pPr>
        <w:spacing w:before="60" w:after="120"/>
        <w:jc w:val="both"/>
        <w:rPr>
          <w:rFonts w:cstheme="minorHAnsi"/>
          <w:b/>
        </w:rPr>
      </w:pPr>
      <w:r w:rsidRPr="00EE5B2B">
        <w:rPr>
          <w:rFonts w:cstheme="minorHAnsi"/>
          <w:b/>
        </w:rPr>
        <w:t xml:space="preserve">Vassné Szűcs </w:t>
      </w:r>
      <w:proofErr w:type="gramStart"/>
      <w:r w:rsidRPr="00EE5B2B">
        <w:rPr>
          <w:rFonts w:cstheme="minorHAnsi"/>
          <w:b/>
        </w:rPr>
        <w:t xml:space="preserve">Róza </w:t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</w:r>
      <w:r w:rsidRPr="00EE5B2B">
        <w:rPr>
          <w:rFonts w:cstheme="minorHAnsi"/>
          <w:b/>
        </w:rPr>
        <w:tab/>
        <w:t xml:space="preserve">  Ujvári</w:t>
      </w:r>
      <w:proofErr w:type="gramEnd"/>
      <w:r w:rsidRPr="00EE5B2B">
        <w:rPr>
          <w:rFonts w:cstheme="minorHAnsi"/>
          <w:b/>
        </w:rPr>
        <w:t xml:space="preserve"> Judit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7A6D77" w:rsidRPr="003C5CB1" w:rsidTr="00A0607A">
        <w:trPr>
          <w:trHeight w:val="340"/>
        </w:trPr>
        <w:tc>
          <w:tcPr>
            <w:tcW w:w="4492" w:type="dxa"/>
          </w:tcPr>
          <w:p w:rsidR="007A6D77" w:rsidRPr="003C5CB1" w:rsidRDefault="007A6D77" w:rsidP="006D26A8">
            <w:pPr>
              <w:rPr>
                <w:rFonts w:cstheme="minorHAnsi"/>
                <w:i/>
              </w:rPr>
            </w:pPr>
            <w:r w:rsidRPr="003C5CB1">
              <w:rPr>
                <w:rFonts w:cstheme="minorHAnsi"/>
                <w:i/>
              </w:rPr>
              <w:t>jegyző</w:t>
            </w:r>
          </w:p>
        </w:tc>
        <w:tc>
          <w:tcPr>
            <w:tcW w:w="4580" w:type="dxa"/>
          </w:tcPr>
          <w:p w:rsidR="007A6D77" w:rsidRPr="003C5CB1" w:rsidRDefault="00EE5B2B" w:rsidP="00A0607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</w:t>
            </w:r>
            <w:r w:rsidR="007A6D77" w:rsidRPr="003C5CB1">
              <w:rPr>
                <w:rFonts w:cstheme="minorHAnsi"/>
                <w:i/>
              </w:rPr>
              <w:t>polgármester</w:t>
            </w:r>
          </w:p>
        </w:tc>
      </w:tr>
    </w:tbl>
    <w:p w:rsidR="007A6D77" w:rsidRPr="003C5CB1" w:rsidRDefault="007A6D77" w:rsidP="007A6D77">
      <w:pPr>
        <w:rPr>
          <w:rFonts w:cstheme="minorHAnsi"/>
        </w:rPr>
      </w:pPr>
    </w:p>
    <w:p w:rsidR="0005629F" w:rsidRPr="003C5CB1" w:rsidRDefault="0005629F">
      <w:pPr>
        <w:rPr>
          <w:rFonts w:cstheme="minorHAnsi"/>
        </w:rPr>
      </w:pPr>
    </w:p>
    <w:sectPr w:rsidR="0005629F" w:rsidRPr="003C5CB1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76" w:rsidRDefault="007A6076" w:rsidP="007A6D77">
      <w:pPr>
        <w:spacing w:after="0" w:line="240" w:lineRule="auto"/>
      </w:pPr>
      <w:r>
        <w:separator/>
      </w:r>
    </w:p>
  </w:endnote>
  <w:endnote w:type="continuationSeparator" w:id="0">
    <w:p w:rsidR="007A6076" w:rsidRDefault="007A6076" w:rsidP="007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76" w:rsidRDefault="007A6076" w:rsidP="007A6D77">
      <w:pPr>
        <w:spacing w:after="0" w:line="240" w:lineRule="auto"/>
      </w:pPr>
      <w:r>
        <w:separator/>
      </w:r>
    </w:p>
  </w:footnote>
  <w:footnote w:type="continuationSeparator" w:id="0">
    <w:p w:rsidR="007A6076" w:rsidRDefault="007A6076" w:rsidP="007A6D77">
      <w:pPr>
        <w:spacing w:after="0" w:line="240" w:lineRule="auto"/>
      </w:pPr>
      <w:r>
        <w:continuationSeparator/>
      </w:r>
    </w:p>
  </w:footnote>
  <w:footnote w:id="1">
    <w:p w:rsidR="007A6D77" w:rsidRPr="002F15E5" w:rsidRDefault="007A6D77" w:rsidP="007A6D7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A6"/>
    <w:multiLevelType w:val="hybridMultilevel"/>
    <w:tmpl w:val="9998D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77"/>
    <w:rsid w:val="0005629F"/>
    <w:rsid w:val="000E373B"/>
    <w:rsid w:val="001619A5"/>
    <w:rsid w:val="001D09A9"/>
    <w:rsid w:val="0036560D"/>
    <w:rsid w:val="003C5CB1"/>
    <w:rsid w:val="004D120E"/>
    <w:rsid w:val="005248FD"/>
    <w:rsid w:val="006D26A8"/>
    <w:rsid w:val="007513A6"/>
    <w:rsid w:val="007A6076"/>
    <w:rsid w:val="007A6D77"/>
    <w:rsid w:val="008E22C1"/>
    <w:rsid w:val="0092554E"/>
    <w:rsid w:val="009B0773"/>
    <w:rsid w:val="00CD3CAC"/>
    <w:rsid w:val="00D13EA1"/>
    <w:rsid w:val="00E11328"/>
    <w:rsid w:val="00E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77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7A6D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D7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7A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6D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06F1-AA32-4640-9586-D20F48B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11176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dcterms:created xsi:type="dcterms:W3CDTF">2019-03-28T09:16:00Z</dcterms:created>
  <dcterms:modified xsi:type="dcterms:W3CDTF">2019-03-28T09:16:00Z</dcterms:modified>
</cp:coreProperties>
</file>